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64ED" w14:textId="5A9D5F6D" w:rsidR="006A68CF" w:rsidRDefault="00765D4E" w:rsidP="007C51D4">
      <w:pPr>
        <w:rPr>
          <w:sz w:val="48"/>
          <w:szCs w:val="48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67B708CE" wp14:editId="7487AD68">
            <wp:simplePos x="0" y="0"/>
            <wp:positionH relativeFrom="margin">
              <wp:posOffset>9525</wp:posOffset>
            </wp:positionH>
            <wp:positionV relativeFrom="paragraph">
              <wp:posOffset>1739900</wp:posOffset>
            </wp:positionV>
            <wp:extent cx="6848475" cy="1571625"/>
            <wp:effectExtent l="38100" t="0" r="0" b="0"/>
            <wp:wrapSquare wrapText="bothSides"/>
            <wp:docPr id="19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8619BB">
        <w:rPr>
          <w:noProof/>
        </w:rPr>
        <w:drawing>
          <wp:anchor distT="0" distB="0" distL="114300" distR="114300" simplePos="0" relativeHeight="251659264" behindDoc="0" locked="0" layoutInCell="1" allowOverlap="1" wp14:anchorId="7C88992B" wp14:editId="0C12B57B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642745" cy="1297305"/>
            <wp:effectExtent l="0" t="0" r="0" b="0"/>
            <wp:wrapSquare wrapText="bothSides"/>
            <wp:docPr id="666978487" name="Picture 66697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BB" w:rsidRPr="008619BB">
        <w:t xml:space="preserve"> </w:t>
      </w:r>
      <w:r w:rsidR="007C51D4">
        <w:rPr>
          <w:sz w:val="48"/>
          <w:szCs w:val="48"/>
        </w:rPr>
        <w:t xml:space="preserve">  </w:t>
      </w:r>
      <w:r w:rsidR="00C74B86">
        <w:rPr>
          <w:noProof/>
          <w:sz w:val="48"/>
          <w:szCs w:val="48"/>
        </w:rPr>
      </w:r>
      <w:r w:rsidR="00C74B86">
        <w:rPr>
          <w:noProof/>
          <w:sz w:val="48"/>
          <w:szCs w:val="48"/>
        </w:rPr>
        <w:pict w14:anchorId="654714E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254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color="#0070c0" strokeweight=".25pt">
            <v:stroke dashstyle="1 1" endcap="round"/>
            <v:textbox style="mso-next-textbox:#Text Box 2">
              <w:txbxContent>
                <w:p w14:paraId="05081CFD" w14:textId="77777777" w:rsidR="006B2FF8" w:rsidRPr="00764D4B" w:rsidRDefault="00B97A07" w:rsidP="001B694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262626" w:themeColor="text1" w:themeTint="D9"/>
                      <w:sz w:val="44"/>
                      <w:szCs w:val="48"/>
                    </w:rPr>
                  </w:pPr>
                  <w:r w:rsidRPr="00764D4B">
                    <w:rPr>
                      <w:rFonts w:cstheme="minorHAnsi"/>
                      <w:b/>
                      <w:color w:val="262626" w:themeColor="text1" w:themeTint="D9"/>
                      <w:sz w:val="44"/>
                      <w:szCs w:val="48"/>
                    </w:rPr>
                    <w:t>Construction &amp; Development</w:t>
                  </w:r>
                  <w:r w:rsidR="006B2FF8" w:rsidRPr="00764D4B">
                    <w:rPr>
                      <w:rFonts w:cstheme="minorHAnsi"/>
                      <w:b/>
                      <w:color w:val="262626" w:themeColor="text1" w:themeTint="D9"/>
                      <w:sz w:val="44"/>
                      <w:szCs w:val="48"/>
                    </w:rPr>
                    <w:t>:</w:t>
                  </w:r>
                </w:p>
                <w:p w14:paraId="234CD587" w14:textId="77777777" w:rsidR="006E324E" w:rsidRPr="00764D4B" w:rsidRDefault="00B97A07" w:rsidP="001B694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262626" w:themeColor="text1" w:themeTint="D9"/>
                      <w:sz w:val="44"/>
                      <w:szCs w:val="48"/>
                    </w:rPr>
                  </w:pPr>
                  <w:r w:rsidRPr="00764D4B">
                    <w:rPr>
                      <w:rFonts w:cstheme="minorHAnsi"/>
                      <w:b/>
                      <w:color w:val="262626" w:themeColor="text1" w:themeTint="D9"/>
                      <w:sz w:val="44"/>
                      <w:szCs w:val="48"/>
                    </w:rPr>
                    <w:t>Carpentry</w:t>
                  </w:r>
                  <w:r w:rsidR="00764D4B" w:rsidRPr="00764D4B">
                    <w:rPr>
                      <w:rFonts w:cstheme="minorHAnsi"/>
                      <w:b/>
                      <w:color w:val="262626" w:themeColor="text1" w:themeTint="D9"/>
                      <w:sz w:val="44"/>
                      <w:szCs w:val="48"/>
                    </w:rPr>
                    <w:t xml:space="preserve"> &amp; </w:t>
                  </w:r>
                  <w:r w:rsidR="006E324E" w:rsidRPr="00764D4B">
                    <w:rPr>
                      <w:rFonts w:cstheme="minorHAnsi"/>
                      <w:b/>
                      <w:color w:val="262626" w:themeColor="text1" w:themeTint="D9"/>
                      <w:sz w:val="44"/>
                      <w:szCs w:val="48"/>
                    </w:rPr>
                    <w:t>Pathway</w:t>
                  </w:r>
                  <w:r w:rsidR="00764D4B" w:rsidRPr="00764D4B">
                    <w:rPr>
                      <w:rFonts w:cstheme="minorHAnsi"/>
                      <w:b/>
                      <w:color w:val="262626" w:themeColor="text1" w:themeTint="D9"/>
                      <w:sz w:val="44"/>
                      <w:szCs w:val="48"/>
                    </w:rPr>
                    <w:t>s to Skilled Trades</w:t>
                  </w:r>
                </w:p>
              </w:txbxContent>
            </v:textbox>
            <w10:anchorlock/>
          </v:shape>
        </w:pict>
      </w:r>
      <w:r w:rsidR="001B6949">
        <w:rPr>
          <w:sz w:val="48"/>
          <w:szCs w:val="48"/>
        </w:rPr>
        <w:tab/>
      </w:r>
      <w:r w:rsidR="001B6949" w:rsidRPr="001B6949">
        <w:rPr>
          <w:noProof/>
          <w:sz w:val="48"/>
          <w:szCs w:val="48"/>
        </w:rPr>
        <w:drawing>
          <wp:inline distT="0" distB="0" distL="0" distR="0" wp14:anchorId="72FB00CB" wp14:editId="225A6223">
            <wp:extent cx="1333500" cy="1452711"/>
            <wp:effectExtent l="19050" t="0" r="0" b="0"/>
            <wp:docPr id="18" name="Picture 15" descr="shield-words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-words-logo-ne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949">
        <w:rPr>
          <w:sz w:val="48"/>
          <w:szCs w:val="48"/>
        </w:rPr>
        <w:tab/>
      </w:r>
    </w:p>
    <w:p w14:paraId="34349C22" w14:textId="3F8DBC29" w:rsidR="009A1715" w:rsidRPr="00B40B73" w:rsidRDefault="009A1715" w:rsidP="49BF49D5">
      <w:pPr>
        <w:rPr>
          <w:sz w:val="24"/>
          <w:szCs w:val="24"/>
        </w:rPr>
      </w:pPr>
    </w:p>
    <w:p w14:paraId="61569B7E" w14:textId="77777777" w:rsidR="001E461F" w:rsidRDefault="00FE55E7" w:rsidP="005A7BDF">
      <w:pPr>
        <w:pStyle w:val="NoSpacing"/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6BCA85FD" wp14:editId="538324C9">
            <wp:simplePos x="0" y="0"/>
            <wp:positionH relativeFrom="margin">
              <wp:posOffset>104775</wp:posOffset>
            </wp:positionH>
            <wp:positionV relativeFrom="paragraph">
              <wp:posOffset>79375</wp:posOffset>
            </wp:positionV>
            <wp:extent cx="1476375" cy="1066800"/>
            <wp:effectExtent l="19050" t="0" r="0" b="0"/>
            <wp:wrapSquare wrapText="bothSides"/>
            <wp:docPr id="6" name="Picture 6" descr="MC9003108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10856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4" r="-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52981FA1" w14:textId="77777777" w:rsidR="00BA1F60" w:rsidRDefault="00FE55E7" w:rsidP="00984F12">
      <w:pPr>
        <w:pStyle w:val="Heading3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9270B5C" wp14:editId="19EBA82F">
            <wp:simplePos x="0" y="0"/>
            <wp:positionH relativeFrom="margin">
              <wp:posOffset>5915025</wp:posOffset>
            </wp:positionH>
            <wp:positionV relativeFrom="paragraph">
              <wp:posOffset>1038860</wp:posOffset>
            </wp:positionV>
            <wp:extent cx="923925" cy="1285875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C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F12">
        <w:t xml:space="preserve">Students in the carpentry careers program acquire information and experience related to residential and commercial construction. Safety, </w:t>
      </w:r>
      <w:proofErr w:type="gramStart"/>
      <w:r w:rsidR="00984F12">
        <w:t>hand</w:t>
      </w:r>
      <w:proofErr w:type="gramEnd"/>
      <w:r w:rsidR="00984F12">
        <w:t xml:space="preserve"> and power tools, leveling instruction, foundation layout, floor and wall construction, roof construction, blueprint reading, forming, and job estimating are units of instruction emphasized for carpentry students.</w:t>
      </w:r>
    </w:p>
    <w:p w14:paraId="31024665" w14:textId="77777777" w:rsidR="00FE55E7" w:rsidRDefault="00BA1F60" w:rsidP="00984F12">
      <w:pPr>
        <w:pStyle w:val="Heading3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9FCBCD" wp14:editId="0D5A17D8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1981200" cy="8858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CC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F12">
        <w:t xml:space="preserve"> </w:t>
      </w:r>
    </w:p>
    <w:p w14:paraId="3F53618A" w14:textId="77777777" w:rsidR="00BA1F60" w:rsidRDefault="00984F12" w:rsidP="00984F12">
      <w:pPr>
        <w:pStyle w:val="Heading3"/>
      </w:pPr>
      <w:r>
        <w:t>Carpentry students will complete the National Center for Construction Education and Research (NCCER) Core Learning and Carpentry Level One certification exams.</w:t>
      </w:r>
    </w:p>
    <w:p w14:paraId="7CD1C498" w14:textId="77777777" w:rsidR="00BA1F60" w:rsidRDefault="00984F12" w:rsidP="00984F12">
      <w:pPr>
        <w:pStyle w:val="Heading3"/>
      </w:pPr>
      <w:r>
        <w:t xml:space="preserve"> </w:t>
      </w:r>
    </w:p>
    <w:p w14:paraId="166FF6C7" w14:textId="77777777" w:rsidR="00BA1F60" w:rsidRDefault="00BA1F60" w:rsidP="00984F12">
      <w:pPr>
        <w:pStyle w:val="Heading3"/>
      </w:pPr>
    </w:p>
    <w:p w14:paraId="605AF7FF" w14:textId="77777777" w:rsidR="00BA1F60" w:rsidRDefault="00984F12" w:rsidP="00984F12">
      <w:pPr>
        <w:pStyle w:val="Heading3"/>
      </w:pPr>
      <w:r>
        <w:t>Students completing the program successfully are eligible for advanced placement in first year apprenticeship in the Associated Builders and Contractors (ABC) Apprenticeship Program.</w:t>
      </w:r>
    </w:p>
    <w:p w14:paraId="1CE8EB53" w14:textId="77777777" w:rsidR="00BA1F60" w:rsidRDefault="00FE55E7" w:rsidP="00984F12">
      <w:pPr>
        <w:pStyle w:val="Heading3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4517EED" wp14:editId="557F3E0C">
            <wp:simplePos x="0" y="0"/>
            <wp:positionH relativeFrom="margin">
              <wp:posOffset>5286375</wp:posOffset>
            </wp:positionH>
            <wp:positionV relativeFrom="paragraph">
              <wp:posOffset>26670</wp:posOffset>
            </wp:positionV>
            <wp:extent cx="1500505" cy="981075"/>
            <wp:effectExtent l="1905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te_pic18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88208" w14:textId="77777777" w:rsidR="00984F12" w:rsidRPr="00B40B73" w:rsidRDefault="00984F12" w:rsidP="00984F12">
      <w:pPr>
        <w:pStyle w:val="Heading3"/>
      </w:pPr>
      <w:r>
        <w:t>They may also be eligible for advanced placement and/or testing opportunities through other union or non-union apprenticeship programs and/or receive college credit at a postsecondary institution through an articulation agreement with CCBC.</w:t>
      </w:r>
      <w:r w:rsidRPr="00984F12">
        <w:rPr>
          <w:noProof/>
        </w:rPr>
        <w:t xml:space="preserve"> </w:t>
      </w:r>
    </w:p>
    <w:p w14:paraId="2BC12D32" w14:textId="77777777" w:rsidR="00BA1F60" w:rsidRDefault="00BA1F60" w:rsidP="009A1715">
      <w:pPr>
        <w:pStyle w:val="NoSpacing"/>
        <w:rPr>
          <w:b/>
          <w:bCs/>
          <w:sz w:val="24"/>
          <w:szCs w:val="24"/>
          <w:u w:val="single"/>
        </w:rPr>
      </w:pPr>
    </w:p>
    <w:p w14:paraId="2CEFAB29" w14:textId="77777777" w:rsidR="00BA1F60" w:rsidRDefault="00BA1F60" w:rsidP="009A1715">
      <w:pPr>
        <w:pStyle w:val="NoSpacing"/>
        <w:rPr>
          <w:b/>
          <w:bCs/>
          <w:sz w:val="24"/>
          <w:szCs w:val="24"/>
          <w:u w:val="single"/>
        </w:rPr>
      </w:pPr>
    </w:p>
    <w:p w14:paraId="01860F20" w14:textId="77777777" w:rsidR="009B04FD" w:rsidRDefault="007C157D" w:rsidP="009A1715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Carpentry Capstone Work Experience</w:t>
      </w:r>
    </w:p>
    <w:p w14:paraId="660F2C4C" w14:textId="3A1A4188" w:rsidR="00CB21C8" w:rsidRDefault="49BF49D5" w:rsidP="00C74B86">
      <w:pPr>
        <w:pStyle w:val="NoSpacing"/>
        <w:rPr>
          <w:sz w:val="24"/>
          <w:szCs w:val="24"/>
        </w:rPr>
      </w:pPr>
      <w:r w:rsidRPr="49BF49D5">
        <w:rPr>
          <w:sz w:val="24"/>
          <w:szCs w:val="24"/>
        </w:rPr>
        <w:t xml:space="preserve"> </w:t>
      </w:r>
      <w:r w:rsidR="00FE55E7">
        <w:rPr>
          <w:sz w:val="24"/>
          <w:szCs w:val="24"/>
        </w:rPr>
        <w:t>*</w:t>
      </w:r>
      <w:r w:rsidR="00984F12">
        <w:rPr>
          <w:sz w:val="24"/>
          <w:szCs w:val="24"/>
        </w:rPr>
        <w:t>CWE may be available to students in their junior or senior year.</w:t>
      </w:r>
    </w:p>
    <w:p w14:paraId="390E9808" w14:textId="7BB79171" w:rsidR="00CB21C8" w:rsidRDefault="00CB21C8" w:rsidP="009A1715">
      <w:pPr>
        <w:pStyle w:val="NoSpacing"/>
      </w:pPr>
    </w:p>
    <w:sectPr w:rsidR="00CB21C8" w:rsidSect="00CC443B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6808" w14:textId="77777777" w:rsidR="00BF7436" w:rsidRDefault="00BF7436" w:rsidP="00B53EEC">
      <w:pPr>
        <w:spacing w:after="0" w:line="240" w:lineRule="auto"/>
      </w:pPr>
      <w:r>
        <w:separator/>
      </w:r>
    </w:p>
  </w:endnote>
  <w:endnote w:type="continuationSeparator" w:id="0">
    <w:p w14:paraId="19A916E0" w14:textId="77777777" w:rsidR="00BF7436" w:rsidRDefault="00BF7436" w:rsidP="00B5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DA4B" w14:textId="77777777" w:rsidR="00BF7436" w:rsidRDefault="00BF7436" w:rsidP="00B53EEC">
      <w:pPr>
        <w:spacing w:after="0" w:line="240" w:lineRule="auto"/>
      </w:pPr>
      <w:r>
        <w:separator/>
      </w:r>
    </w:p>
  </w:footnote>
  <w:footnote w:type="continuationSeparator" w:id="0">
    <w:p w14:paraId="308C6A92" w14:textId="77777777" w:rsidR="00BF7436" w:rsidRDefault="00BF7436" w:rsidP="00B5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08F6"/>
    <w:multiLevelType w:val="hybridMultilevel"/>
    <w:tmpl w:val="62408C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89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C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C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C4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BE1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DE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7A6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65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2944EA"/>
    <w:multiLevelType w:val="hybridMultilevel"/>
    <w:tmpl w:val="162E629A"/>
    <w:lvl w:ilvl="0" w:tplc="44FA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CD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0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6A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4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E4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6E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0B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EC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EEC"/>
    <w:rsid w:val="001054BA"/>
    <w:rsid w:val="00162548"/>
    <w:rsid w:val="001B5038"/>
    <w:rsid w:val="001B6949"/>
    <w:rsid w:val="001E461F"/>
    <w:rsid w:val="001F53C2"/>
    <w:rsid w:val="002314AA"/>
    <w:rsid w:val="002F1966"/>
    <w:rsid w:val="003A144A"/>
    <w:rsid w:val="003B5F57"/>
    <w:rsid w:val="004643A8"/>
    <w:rsid w:val="0057467F"/>
    <w:rsid w:val="00583A0E"/>
    <w:rsid w:val="005A7BDF"/>
    <w:rsid w:val="006A68CF"/>
    <w:rsid w:val="006B2FF8"/>
    <w:rsid w:val="006E1F38"/>
    <w:rsid w:val="006E324E"/>
    <w:rsid w:val="00700E98"/>
    <w:rsid w:val="00764D4B"/>
    <w:rsid w:val="00765D4E"/>
    <w:rsid w:val="00796F7C"/>
    <w:rsid w:val="007C157D"/>
    <w:rsid w:val="007C51D4"/>
    <w:rsid w:val="008279F7"/>
    <w:rsid w:val="008619BB"/>
    <w:rsid w:val="0086613D"/>
    <w:rsid w:val="008A2D56"/>
    <w:rsid w:val="00984F12"/>
    <w:rsid w:val="009A1715"/>
    <w:rsid w:val="009B04FD"/>
    <w:rsid w:val="009F6319"/>
    <w:rsid w:val="00A52149"/>
    <w:rsid w:val="00A71B9D"/>
    <w:rsid w:val="00A879D6"/>
    <w:rsid w:val="00AD27FC"/>
    <w:rsid w:val="00B2731B"/>
    <w:rsid w:val="00B40B73"/>
    <w:rsid w:val="00B53EEC"/>
    <w:rsid w:val="00B97A07"/>
    <w:rsid w:val="00BA1F60"/>
    <w:rsid w:val="00BC6E30"/>
    <w:rsid w:val="00BF7436"/>
    <w:rsid w:val="00C23E53"/>
    <w:rsid w:val="00C654F5"/>
    <w:rsid w:val="00C74B86"/>
    <w:rsid w:val="00CB21C8"/>
    <w:rsid w:val="00CC443B"/>
    <w:rsid w:val="00CE1E59"/>
    <w:rsid w:val="00CF7FAA"/>
    <w:rsid w:val="00DA02C6"/>
    <w:rsid w:val="00E062ED"/>
    <w:rsid w:val="00E07970"/>
    <w:rsid w:val="00ED2E61"/>
    <w:rsid w:val="00F02908"/>
    <w:rsid w:val="00F1056E"/>
    <w:rsid w:val="00F174B9"/>
    <w:rsid w:val="00FE047B"/>
    <w:rsid w:val="00FE55E7"/>
    <w:rsid w:val="1B2580A9"/>
    <w:rsid w:val="45486127"/>
    <w:rsid w:val="49BF49D5"/>
    <w:rsid w:val="5FC2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DC04F5"/>
  <w15:docId w15:val="{784200F4-6F01-42EF-BD49-6903C33D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9D6"/>
  </w:style>
  <w:style w:type="paragraph" w:styleId="Heading1">
    <w:name w:val="heading 1"/>
    <w:basedOn w:val="Normal"/>
    <w:next w:val="Normal"/>
    <w:link w:val="Heading1Char"/>
    <w:uiPriority w:val="9"/>
    <w:qFormat/>
    <w:rsid w:val="0046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EC"/>
  </w:style>
  <w:style w:type="paragraph" w:styleId="Footer">
    <w:name w:val="footer"/>
    <w:basedOn w:val="Normal"/>
    <w:link w:val="FooterChar"/>
    <w:uiPriority w:val="99"/>
    <w:unhideWhenUsed/>
    <w:rsid w:val="00B5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EC"/>
  </w:style>
  <w:style w:type="paragraph" w:styleId="NoSpacing">
    <w:name w:val="No Spacing"/>
    <w:link w:val="NoSpacingChar"/>
    <w:uiPriority w:val="1"/>
    <w:qFormat/>
    <w:rsid w:val="009A17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731B"/>
  </w:style>
  <w:style w:type="paragraph" w:styleId="BalloonText">
    <w:name w:val="Balloon Text"/>
    <w:basedOn w:val="Normal"/>
    <w:link w:val="BalloonTextChar"/>
    <w:uiPriority w:val="99"/>
    <w:semiHidden/>
    <w:unhideWhenUsed/>
    <w:rsid w:val="00DA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4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3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3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2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9655EC-EB1C-4888-AFB6-062D8653B8A1}" type="doc">
      <dgm:prSet loTypeId="urn:microsoft.com/office/officeart/2005/8/layout/process1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507587-98F3-4EF4-B2F6-6D2E9EC6E4F0}">
      <dgm:prSet phldrT="[Text]" custT="1"/>
      <dgm:spPr>
        <a:xfrm>
          <a:off x="749" y="437614"/>
          <a:ext cx="1305824" cy="8202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US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1 (1)</a:t>
          </a:r>
        </a:p>
        <a:p>
          <a:pPr>
            <a:buNone/>
          </a:pPr>
          <a:r>
            <a:rPr lang="en-US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2 (1)</a:t>
          </a:r>
        </a:p>
      </dgm:t>
    </dgm:pt>
    <dgm:pt modelId="{FEF1A23A-23BE-4799-89BB-B5C23AD45DEA}" type="parTrans" cxnId="{8A4A22FB-5A70-41FB-8B6E-7A85B13689BB}">
      <dgm:prSet/>
      <dgm:spPr/>
      <dgm:t>
        <a:bodyPr/>
        <a:lstStyle/>
        <a:p>
          <a:endParaRPr lang="en-US"/>
        </a:p>
      </dgm:t>
    </dgm:pt>
    <dgm:pt modelId="{CF4210E2-1D90-4165-9812-8BC311000DFF}" type="sibTrans" cxnId="{8A4A22FB-5A70-41FB-8B6E-7A85B13689BB}">
      <dgm:prSet/>
      <dgm:spPr>
        <a:xfrm>
          <a:off x="1437157" y="685802"/>
          <a:ext cx="276834" cy="3238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52053F0-49BB-41A2-943F-789A6E9AF019}">
      <dgm:prSet phldrT="[Text]" custT="1"/>
      <dgm:spPr>
        <a:xfrm>
          <a:off x="3657059" y="437614"/>
          <a:ext cx="1305824" cy="82022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US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3 Honors (1)</a:t>
          </a:r>
        </a:p>
        <a:p>
          <a:pPr>
            <a:buNone/>
          </a:pPr>
          <a:r>
            <a:rPr lang="en-US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4 Honors (1)</a:t>
          </a:r>
        </a:p>
      </dgm:t>
    </dgm:pt>
    <dgm:pt modelId="{5083E2D5-BEB4-4DE8-9BDB-B1317E08EC06}" type="parTrans" cxnId="{A399FA77-9A5E-454D-A315-570C5231022F}">
      <dgm:prSet/>
      <dgm:spPr/>
      <dgm:t>
        <a:bodyPr/>
        <a:lstStyle/>
        <a:p>
          <a:endParaRPr lang="en-US"/>
        </a:p>
      </dgm:t>
    </dgm:pt>
    <dgm:pt modelId="{BE1D4728-D48B-4798-A249-B6EA68BCB7D4}" type="sibTrans" cxnId="{A399FA77-9A5E-454D-A315-570C5231022F}">
      <dgm:prSet/>
      <dgm:spPr>
        <a:xfrm rot="21579938">
          <a:off x="5074887" y="680645"/>
          <a:ext cx="237453" cy="32384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64902E6-D6F4-4700-AC9E-D4EB02B6B8C1}">
      <dgm:prSet custT="1"/>
      <dgm:spPr>
        <a:xfrm>
          <a:off x="5410902" y="466584"/>
          <a:ext cx="1362510" cy="7414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buNone/>
          </a:pPr>
          <a:r>
            <a:rPr lang="en-US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CWE (1)</a:t>
          </a:r>
        </a:p>
        <a:p>
          <a:pPr>
            <a:buNone/>
          </a:pPr>
          <a:r>
            <a:rPr lang="en-US" sz="13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(Optional)</a:t>
          </a:r>
        </a:p>
      </dgm:t>
    </dgm:pt>
    <dgm:pt modelId="{39A478E4-83E0-476C-92D6-E86F93319392}" type="sibTrans" cxnId="{C57D9C0C-757E-48A4-92EB-8D3EEEEDA98B}">
      <dgm:prSet/>
      <dgm:spPr/>
      <dgm:t>
        <a:bodyPr/>
        <a:lstStyle/>
        <a:p>
          <a:endParaRPr lang="en-US"/>
        </a:p>
      </dgm:t>
    </dgm:pt>
    <dgm:pt modelId="{5330B328-18EA-4DED-9FF9-6B05C0E11F70}" type="parTrans" cxnId="{C57D9C0C-757E-48A4-92EB-8D3EEEEDA98B}">
      <dgm:prSet/>
      <dgm:spPr/>
      <dgm:t>
        <a:bodyPr/>
        <a:lstStyle/>
        <a:p>
          <a:endParaRPr lang="en-US"/>
        </a:p>
      </dgm:t>
    </dgm:pt>
    <dgm:pt modelId="{0A050C94-ED6A-4A12-BE5F-B385CA80E7F0}" type="pres">
      <dgm:prSet presAssocID="{789655EC-EB1C-4888-AFB6-062D8653B8A1}" presName="Name0" presStyleCnt="0">
        <dgm:presLayoutVars>
          <dgm:dir/>
          <dgm:resizeHandles val="exact"/>
        </dgm:presLayoutVars>
      </dgm:prSet>
      <dgm:spPr/>
    </dgm:pt>
    <dgm:pt modelId="{50A23DDB-F2F5-4B9F-9405-AA2B54BAB0D9}" type="pres">
      <dgm:prSet presAssocID="{6D507587-98F3-4EF4-B2F6-6D2E9EC6E4F0}" presName="node" presStyleLbl="node1" presStyleIdx="0" presStyleCnt="3">
        <dgm:presLayoutVars>
          <dgm:bulletEnabled val="1"/>
        </dgm:presLayoutVars>
      </dgm:prSet>
      <dgm:spPr/>
    </dgm:pt>
    <dgm:pt modelId="{DBFD706B-A23E-4CEF-AE68-7B051433E2AE}" type="pres">
      <dgm:prSet presAssocID="{CF4210E2-1D90-4165-9812-8BC311000DFF}" presName="sibTrans" presStyleLbl="sibTrans2D1" presStyleIdx="0" presStyleCnt="2"/>
      <dgm:spPr/>
    </dgm:pt>
    <dgm:pt modelId="{09E2A112-4E40-4151-8BD3-458972240FC4}" type="pres">
      <dgm:prSet presAssocID="{CF4210E2-1D90-4165-9812-8BC311000DFF}" presName="connectorText" presStyleLbl="sibTrans2D1" presStyleIdx="0" presStyleCnt="2"/>
      <dgm:spPr/>
    </dgm:pt>
    <dgm:pt modelId="{BBC43107-D3D3-4C99-A2EE-577E21B719F1}" type="pres">
      <dgm:prSet presAssocID="{652053F0-49BB-41A2-943F-789A6E9AF019}" presName="node" presStyleLbl="node1" presStyleIdx="1" presStyleCnt="3">
        <dgm:presLayoutVars>
          <dgm:bulletEnabled val="1"/>
        </dgm:presLayoutVars>
      </dgm:prSet>
      <dgm:spPr/>
    </dgm:pt>
    <dgm:pt modelId="{A10415B2-D0AD-4426-979A-719C2790E71E}" type="pres">
      <dgm:prSet presAssocID="{BE1D4728-D48B-4798-A249-B6EA68BCB7D4}" presName="sibTrans" presStyleLbl="sibTrans2D1" presStyleIdx="1" presStyleCnt="2"/>
      <dgm:spPr/>
    </dgm:pt>
    <dgm:pt modelId="{39E6F3E5-E616-4360-9623-6CB150BCEB9A}" type="pres">
      <dgm:prSet presAssocID="{BE1D4728-D48B-4798-A249-B6EA68BCB7D4}" presName="connectorText" presStyleLbl="sibTrans2D1" presStyleIdx="1" presStyleCnt="2"/>
      <dgm:spPr/>
    </dgm:pt>
    <dgm:pt modelId="{2DC8FFE6-51EB-4A3F-BAB4-5F0B23FDFCD0}" type="pres">
      <dgm:prSet presAssocID="{664902E6-D6F4-4700-AC9E-D4EB02B6B8C1}" presName="node" presStyleLbl="node1" presStyleIdx="2" presStyleCnt="3" custScaleX="104341" custScaleY="107051" custLinFactNeighborX="-14227" custLinFactNeighborY="-1268">
        <dgm:presLayoutVars>
          <dgm:bulletEnabled val="1"/>
        </dgm:presLayoutVars>
      </dgm:prSet>
      <dgm:spPr/>
    </dgm:pt>
  </dgm:ptLst>
  <dgm:cxnLst>
    <dgm:cxn modelId="{C57D9C0C-757E-48A4-92EB-8D3EEEEDA98B}" srcId="{789655EC-EB1C-4888-AFB6-062D8653B8A1}" destId="{664902E6-D6F4-4700-AC9E-D4EB02B6B8C1}" srcOrd="2" destOrd="0" parTransId="{5330B328-18EA-4DED-9FF9-6B05C0E11F70}" sibTransId="{39A478E4-83E0-476C-92D6-E86F93319392}"/>
    <dgm:cxn modelId="{91796F10-F3FB-41D5-BEBD-ABD755E58400}" type="presOf" srcId="{664902E6-D6F4-4700-AC9E-D4EB02B6B8C1}" destId="{2DC8FFE6-51EB-4A3F-BAB4-5F0B23FDFCD0}" srcOrd="0" destOrd="0" presId="urn:microsoft.com/office/officeart/2005/8/layout/process1"/>
    <dgm:cxn modelId="{9C405C19-4444-4523-B326-D3958E537E4A}" type="presOf" srcId="{652053F0-49BB-41A2-943F-789A6E9AF019}" destId="{BBC43107-D3D3-4C99-A2EE-577E21B719F1}" srcOrd="0" destOrd="0" presId="urn:microsoft.com/office/officeart/2005/8/layout/process1"/>
    <dgm:cxn modelId="{F3477629-4DA1-4481-9C8D-8F1102C3EACA}" type="presOf" srcId="{BE1D4728-D48B-4798-A249-B6EA68BCB7D4}" destId="{39E6F3E5-E616-4360-9623-6CB150BCEB9A}" srcOrd="1" destOrd="0" presId="urn:microsoft.com/office/officeart/2005/8/layout/process1"/>
    <dgm:cxn modelId="{97A91454-50FB-4A67-8272-0C6EB3799B21}" type="presOf" srcId="{CF4210E2-1D90-4165-9812-8BC311000DFF}" destId="{DBFD706B-A23E-4CEF-AE68-7B051433E2AE}" srcOrd="0" destOrd="0" presId="urn:microsoft.com/office/officeart/2005/8/layout/process1"/>
    <dgm:cxn modelId="{A399FA77-9A5E-454D-A315-570C5231022F}" srcId="{789655EC-EB1C-4888-AFB6-062D8653B8A1}" destId="{652053F0-49BB-41A2-943F-789A6E9AF019}" srcOrd="1" destOrd="0" parTransId="{5083E2D5-BEB4-4DE8-9BDB-B1317E08EC06}" sibTransId="{BE1D4728-D48B-4798-A249-B6EA68BCB7D4}"/>
    <dgm:cxn modelId="{E2AFD678-BF6B-46D1-B615-E4D46A781534}" type="presOf" srcId="{789655EC-EB1C-4888-AFB6-062D8653B8A1}" destId="{0A050C94-ED6A-4A12-BE5F-B385CA80E7F0}" srcOrd="0" destOrd="0" presId="urn:microsoft.com/office/officeart/2005/8/layout/process1"/>
    <dgm:cxn modelId="{CFE79F59-8356-4B6D-92EB-BE29B78D3FDB}" type="presOf" srcId="{6D507587-98F3-4EF4-B2F6-6D2E9EC6E4F0}" destId="{50A23DDB-F2F5-4B9F-9405-AA2B54BAB0D9}" srcOrd="0" destOrd="0" presId="urn:microsoft.com/office/officeart/2005/8/layout/process1"/>
    <dgm:cxn modelId="{6C1175B5-788C-4AE7-B7B2-7F993C44F809}" type="presOf" srcId="{BE1D4728-D48B-4798-A249-B6EA68BCB7D4}" destId="{A10415B2-D0AD-4426-979A-719C2790E71E}" srcOrd="0" destOrd="0" presId="urn:microsoft.com/office/officeart/2005/8/layout/process1"/>
    <dgm:cxn modelId="{1A0D99C3-3447-4A93-B26C-7BBC77881A2A}" type="presOf" srcId="{CF4210E2-1D90-4165-9812-8BC311000DFF}" destId="{09E2A112-4E40-4151-8BD3-458972240FC4}" srcOrd="1" destOrd="0" presId="urn:microsoft.com/office/officeart/2005/8/layout/process1"/>
    <dgm:cxn modelId="{8A4A22FB-5A70-41FB-8B6E-7A85B13689BB}" srcId="{789655EC-EB1C-4888-AFB6-062D8653B8A1}" destId="{6D507587-98F3-4EF4-B2F6-6D2E9EC6E4F0}" srcOrd="0" destOrd="0" parTransId="{FEF1A23A-23BE-4799-89BB-B5C23AD45DEA}" sibTransId="{CF4210E2-1D90-4165-9812-8BC311000DFF}"/>
    <dgm:cxn modelId="{F24FDA32-44DF-48FB-83A0-9AC5FAE6AAA7}" type="presParOf" srcId="{0A050C94-ED6A-4A12-BE5F-B385CA80E7F0}" destId="{50A23DDB-F2F5-4B9F-9405-AA2B54BAB0D9}" srcOrd="0" destOrd="0" presId="urn:microsoft.com/office/officeart/2005/8/layout/process1"/>
    <dgm:cxn modelId="{BE804FE3-4418-4F65-A013-107C9C2C2DE4}" type="presParOf" srcId="{0A050C94-ED6A-4A12-BE5F-B385CA80E7F0}" destId="{DBFD706B-A23E-4CEF-AE68-7B051433E2AE}" srcOrd="1" destOrd="0" presId="urn:microsoft.com/office/officeart/2005/8/layout/process1"/>
    <dgm:cxn modelId="{F32037D7-4213-4E73-9FE3-C4F2EFA070AF}" type="presParOf" srcId="{DBFD706B-A23E-4CEF-AE68-7B051433E2AE}" destId="{09E2A112-4E40-4151-8BD3-458972240FC4}" srcOrd="0" destOrd="0" presId="urn:microsoft.com/office/officeart/2005/8/layout/process1"/>
    <dgm:cxn modelId="{DBE710F2-F691-4A55-A6C6-A7F548682548}" type="presParOf" srcId="{0A050C94-ED6A-4A12-BE5F-B385CA80E7F0}" destId="{BBC43107-D3D3-4C99-A2EE-577E21B719F1}" srcOrd="2" destOrd="0" presId="urn:microsoft.com/office/officeart/2005/8/layout/process1"/>
    <dgm:cxn modelId="{B1C2513B-8E7F-44F4-903F-CD8CD576C03D}" type="presParOf" srcId="{0A050C94-ED6A-4A12-BE5F-B385CA80E7F0}" destId="{A10415B2-D0AD-4426-979A-719C2790E71E}" srcOrd="3" destOrd="0" presId="urn:microsoft.com/office/officeart/2005/8/layout/process1"/>
    <dgm:cxn modelId="{2623FB78-1312-4C1B-8A61-1292AF570DA2}" type="presParOf" srcId="{A10415B2-D0AD-4426-979A-719C2790E71E}" destId="{39E6F3E5-E616-4360-9623-6CB150BCEB9A}" srcOrd="0" destOrd="0" presId="urn:microsoft.com/office/officeart/2005/8/layout/process1"/>
    <dgm:cxn modelId="{C7D34FEC-3996-4C06-8CE8-78DC0CF55DFA}" type="presParOf" srcId="{0A050C94-ED6A-4A12-BE5F-B385CA80E7F0}" destId="{2DC8FFE6-51EB-4A3F-BAB4-5F0B23FDFCD0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A23DDB-F2F5-4B9F-9405-AA2B54BAB0D9}">
      <dsp:nvSpPr>
        <dsp:cNvPr id="0" name=""/>
        <dsp:cNvSpPr/>
      </dsp:nvSpPr>
      <dsp:spPr>
        <a:xfrm>
          <a:off x="5527" y="252112"/>
          <a:ext cx="1778998" cy="106739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1 (1)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2 (1)</a:t>
          </a:r>
        </a:p>
      </dsp:txBody>
      <dsp:txXfrm>
        <a:off x="36790" y="283375"/>
        <a:ext cx="1716472" cy="1004873"/>
      </dsp:txXfrm>
    </dsp:sp>
    <dsp:sp modelId="{DBFD706B-A23E-4CEF-AE68-7B051433E2AE}">
      <dsp:nvSpPr>
        <dsp:cNvPr id="0" name=""/>
        <dsp:cNvSpPr/>
      </dsp:nvSpPr>
      <dsp:spPr>
        <a:xfrm>
          <a:off x="1962425" y="565216"/>
          <a:ext cx="377147" cy="441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962425" y="653454"/>
        <a:ext cx="264003" cy="264715"/>
      </dsp:txXfrm>
    </dsp:sp>
    <dsp:sp modelId="{BBC43107-D3D3-4C99-A2EE-577E21B719F1}">
      <dsp:nvSpPr>
        <dsp:cNvPr id="0" name=""/>
        <dsp:cNvSpPr/>
      </dsp:nvSpPr>
      <dsp:spPr>
        <a:xfrm>
          <a:off x="2496125" y="252112"/>
          <a:ext cx="1778998" cy="106739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3 Honors (1)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4 Honors (1)</a:t>
          </a:r>
        </a:p>
      </dsp:txBody>
      <dsp:txXfrm>
        <a:off x="2527388" y="283375"/>
        <a:ext cx="1716472" cy="1004873"/>
      </dsp:txXfrm>
    </dsp:sp>
    <dsp:sp modelId="{A10415B2-D0AD-4426-979A-719C2790E71E}">
      <dsp:nvSpPr>
        <dsp:cNvPr id="0" name=""/>
        <dsp:cNvSpPr/>
      </dsp:nvSpPr>
      <dsp:spPr>
        <a:xfrm rot="21580837">
          <a:off x="4427711" y="558505"/>
          <a:ext cx="323495" cy="44119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427712" y="647013"/>
        <a:ext cx="226447" cy="264715"/>
      </dsp:txXfrm>
    </dsp:sp>
    <dsp:sp modelId="{2DC8FFE6-51EB-4A3F-BAB4-5F0B23FDFCD0}">
      <dsp:nvSpPr>
        <dsp:cNvPr id="0" name=""/>
        <dsp:cNvSpPr/>
      </dsp:nvSpPr>
      <dsp:spPr>
        <a:xfrm>
          <a:off x="4885483" y="200947"/>
          <a:ext cx="1856224" cy="114266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Carpentry CWE (1)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(Optional)</a:t>
          </a:r>
        </a:p>
      </dsp:txBody>
      <dsp:txXfrm>
        <a:off x="4918950" y="234414"/>
        <a:ext cx="1789290" cy="1075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E75E-5015-4B7B-A188-7492F280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4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Scala, Hilary B.</dc:creator>
  <cp:keywords/>
  <dc:description/>
  <cp:lastModifiedBy>Laing, Melissa</cp:lastModifiedBy>
  <cp:revision>2</cp:revision>
  <cp:lastPrinted>2017-09-15T15:44:00Z</cp:lastPrinted>
  <dcterms:created xsi:type="dcterms:W3CDTF">2021-08-18T19:04:00Z</dcterms:created>
  <dcterms:modified xsi:type="dcterms:W3CDTF">2021-08-18T19:04:00Z</dcterms:modified>
</cp:coreProperties>
</file>